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PA-300石英玻璃相位差测试仪：技术解析与应用指南</w:t>
      </w:r>
    </w:p>
    <w:p>
      <w:pPr>
        <w:pStyle w:val="Heading3"/>
      </w:pPr>
      <w:r>
        <w:t xml:space="preserve">一、仪器基础概述</w:t>
      </w:r>
    </w:p>
    <w:p>
      <w:pPr>
        <w:pStyle w:val="text"/>
      </w:pPr>
      <w:r>
        <w:t xml:space="preserve">PA-300 系列是日本 Photonic lattice 公司研发的高精度双折射 / 应力测量仪，专为石英玻璃等低相位差样品检测设计，测量范围覆盖 0-130nm，样品适配尺寸从 5mm 微型基板至 50cm 晶圆级基板，凭借光子晶体偏光阵列核心技术与高速检测算法，成为半导体、消费电子等工业领域的优选检测设备。</w:t>
      </w:r>
    </w:p>
    <w:p>
      <w:pPr>
        <w:pStyle w:val="Heading3"/>
      </w:pPr>
      <w:r>
        <w:t xml:space="preserve">二、核心技术原理</w:t>
      </w:r>
    </w:p>
    <w:p>
      <w:pPr>
        <w:pStyle w:val="Heading4"/>
      </w:pPr>
      <w:r>
        <w:t xml:space="preserve">（一）低相位差精准捕获技术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检测单元与算法</w:t>
      </w:r>
      <w:r>
        <w:t xml:space="preserve">：搭载 0.001nm 最小分辨率的光子晶体阵列检测单元，结合 520nm 绿光波段双折射增强算法，检测灵敏度较传统偏振光干涉法提升 3 倍，可精准捕捉基板边缘与中心的相位差梯度变化。</w:t>
      </w:r>
    </w:p>
    <w:p>
      <w:pPr>
        <w:pStyle w:val="text"/>
        <w:numPr>
          <w:ilvl w:val="0"/>
          <w:numId w:val="2"/>
        </w:numPr>
      </w:pPr>
      <w:r>
        <w:rPr>
          <w:b/>
          <w:bCs/>
        </w:rPr>
        <w:t xml:space="preserve">误差控制</w:t>
      </w:r>
      <w:r>
        <w:t xml:space="preserve">：采用斯托克斯分量同步采集技术，去除机械旋转部件，避免振动误差，12 英寸基板全区域检测重复精度稳定在 σ&lt;0.1nm。</w:t>
      </w:r>
    </w:p>
    <w:p>
      <w:pPr>
        <w:pStyle w:val="Heading4"/>
      </w:pPr>
      <w:r>
        <w:t xml:space="preserve">（二）智能数显解析系统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分区可视化</w:t>
      </w:r>
      <w:r>
        <w:t xml:space="preserve">：PA-View 软件支持自定义分区检测（有效区域 / 边缘区域等），3 秒生成彩色相位差热力图，红色预警区精准锁定应力集中点。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数据联动</w:t>
      </w:r>
      <w:r>
        <w:t xml:space="preserve">：选配应力换算模块可将相位差转化为 MPa 级应力值，符合 ASTME837 标准（≤50MPa），数据一键导出至 LIMS 系统。</w:t>
      </w:r>
    </w:p>
    <w:p>
      <w:pPr>
        <w:pStyle w:val="text"/>
        <w:numPr>
          <w:ilvl w:val="0"/>
          <w:numId w:val="3"/>
        </w:numPr>
      </w:pPr>
      <w:r>
        <w:rPr>
          <w:b/>
          <w:bCs/>
        </w:rPr>
        <w:t xml:space="preserve">多尺寸适配</w:t>
      </w:r>
      <w:r>
        <w:t xml:space="preserve">：通过镜头组合实现 7×8.4mm 显微检测至 242×290mm 超大视野覆盖，适配不同规格基板。</w:t>
      </w:r>
    </w:p>
    <w:p>
      <w:pPr>
        <w:pStyle w:val="Heading3"/>
      </w:pPr>
      <w:r>
        <w:t xml:space="preserve">三、关键性能参数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型号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PA-300（标准型）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PA-300-L（光掩模专用）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PA-300-XL（晶圆级）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测量范围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0-130nm（0-200MPa 应力）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0-130nm（0-200MPa 应力）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0-130nm（0-200MPa 应力）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分辨率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0.001nm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0.001nm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0.001nm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重复精度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σ&lt;0.1nm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σ&lt;0.1nm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σ&lt;0.1nm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传感器像素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2056×2464（≈500 万）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2056×2464（≈500 万）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2056×2464（≈500 万）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标准视野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30×36mm-100×133mm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37×44mm-240×320mm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242×290mm-360×480mm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设备尺寸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270×337×631mm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430×487×1166mm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650×650×1930mm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重量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约 12kg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约 23kg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-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洁净等级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ISO 14644-1 Class 5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ISO 14644-1 Class 5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ISO 14644-1 Class 5</w:t>
            </w:r>
          </w:p>
        </w:tc>
      </w:tr>
    </w:tbl>
    <w:p>
      <w:pPr>
        <w:pStyle w:val="Heading3"/>
      </w:pPr>
      <w:r>
        <w:t xml:space="preserve">四、典型应用场景</w:t>
      </w:r>
    </w:p>
    <w:p>
      <w:pPr>
        <w:pStyle w:val="Heading4"/>
      </w:pPr>
      <w:r>
        <w:t xml:space="preserve">（一）半导体光掩模基板检测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对象</w:t>
      </w:r>
      <w:r>
        <w:t xml:space="preserve">：6-12 英寸圆形石英光掩模基板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需求</w:t>
      </w:r>
      <w:r>
        <w:t xml:space="preserve">：相位差均匀性≤3nm，边缘应力≤30MPa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方案</w:t>
      </w:r>
      <w:r>
        <w:t xml:space="preserve">：真空吸附样品台屏蔽尘埃，内置标准模板生成检测报告，对接 SEMICON West 认证，全检效率提升 60 倍。</w:t>
      </w:r>
    </w:p>
    <w:p>
      <w:pPr>
        <w:pStyle w:val="Heading4"/>
      </w:pPr>
      <w:r>
        <w:t xml:space="preserve">（二）智能手机盖板基板检测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对象</w:t>
      </w:r>
      <w:r>
        <w:t xml:space="preserve">：0.7-2mm 超薄石英盖板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痛点</w:t>
      </w:r>
      <w:r>
        <w:t xml:space="preserve">：热压成型导致局部应力集中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方案</w:t>
      </w:r>
      <w:r>
        <w:t xml:space="preserve">：快速扫描模式 3 秒 / 片，多样品热力图对比优化退火参数，不良率降低 40% 以上。</w:t>
      </w:r>
    </w:p>
    <w:p>
      <w:pPr>
        <w:pStyle w:val="Heading3"/>
      </w:pPr>
      <w:r>
        <w:t xml:space="preserve">五、标准合规与核心优势</w:t>
      </w:r>
    </w:p>
    <w:p>
      <w:pPr>
        <w:pStyle w:val="Heading4"/>
      </w:pPr>
      <w:r>
        <w:t xml:space="preserve">（一）双重标准契合</w:t>
      </w:r>
    </w:p>
    <w:p>
      <w:pPr>
        <w:pStyle w:val="text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检测项目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执行标准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实现能力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残余应力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SEMI F40/GB/T 16523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0-200MPa 换算，精度 ±2MPa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相位差均匀性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SEMI P492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全域 σ&lt;0.5nm 判定</w:t>
            </w:r>
          </w:p>
        </w:tc>
      </w:tr>
      <w:tr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表面应力梯度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ASTME837</w:t>
            </w:r>
          </w:p>
        </w:tc>
        <w:tc>
          <w:tcPr>
            <w:tcW w:type="dxa" w:w="2760"/>
            <w:tcBorders>
              <w:top w:val="single" w:color="DEE0E3" w:sz="0" w:space="0"/>
              <w:start w:val="single" w:color="DEE0E3" w:sz="0" w:space="0"/>
              <w:left w:val="single" w:color="DEE0E3" w:sz="0" w:space="0"/>
              <w:bottom w:val="single" w:color="DEE0E3" w:sz="0" w:space="0"/>
              <w:end w:val="single" w:color="DEE0E3" w:sz="0" w:space="0"/>
              <w:right w:val="single" w:color="DEE0E3" w:sz="0" w:space="0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pStyle w:val="text"/>
            </w:pPr>
            <w:r>
              <w:t xml:space="preserve">彩色映射图量化显示</w:t>
            </w:r>
          </w:p>
        </w:tc>
      </w:tr>
    </w:tbl>
    <w:p>
      <w:pPr>
        <w:pStyle w:val="Heading4"/>
      </w:pPr>
      <w:r>
        <w:t xml:space="preserve">（二）核心竞争优势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精准性</w:t>
      </w:r>
      <w:r>
        <w:t xml:space="preserve">：0.001nm 分辨率 +σ&lt;0.1nm 重复精度，适配超低相位差检测需求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高效性</w:t>
      </w:r>
      <w:r>
        <w:t xml:space="preserve">：3 秒 / 片检测速度，替代传统 3 分钟 / 片的低效模式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全尺寸覆盖</w:t>
      </w:r>
      <w:r>
        <w:t xml:space="preserve">：从微型基板到晶圆级样品的全规格适配</w:t>
      </w:r>
    </w:p>
    <w:p>
      <w:pPr>
        <w:pStyle w:val="text"/>
        <w:numPr>
          <w:ilvl w:val="0"/>
          <w:numId w:val="5"/>
        </w:numPr>
      </w:pPr>
      <w:r>
        <w:rPr>
          <w:b/>
          <w:bCs/>
        </w:rPr>
        <w:t xml:space="preserve">环境适配</w:t>
      </w:r>
      <w:r>
        <w:t xml:space="preserve">：Class 5 洁净设计 + 100 米 GigE 传输，兼容半导体前道检测区</w:t>
      </w:r>
    </w:p>
    <w:p>
      <w:pPr>
        <w:pStyle w:val="Heading3"/>
      </w:pPr>
      <w:r>
        <w:t xml:space="preserve">六、技术局限与升级方向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现存不足</w:t>
      </w:r>
      <w:r>
        <w:t xml:space="preserve">：不支持色散模式与光弹性测量，无法检测 &gt; 130nm 高相位差样品</w:t>
      </w:r>
    </w:p>
    <w:p>
      <w:pPr>
        <w:pStyle w:val="text"/>
        <w:numPr>
          <w:ilvl w:val="0"/>
          <w:numId w:val="4"/>
        </w:numPr>
      </w:pPr>
      <w:r>
        <w:rPr>
          <w:b/>
          <w:bCs/>
        </w:rPr>
        <w:t xml:space="preserve">研发方向</w:t>
      </w:r>
      <w:r>
        <w:t xml:space="preserve">：集成 AI 缺陷分类算法、开发 193nm 深紫外版本、缩小设备体积至 80kg 以下</w:t>
      </w:r>
    </w:p>
    <w:p>
      <w:pPr>
        <w:pStyle w:val="blockquote"/>
        <w:pBdr>
          <w:left w:val="single" w:color="BBBFC4" w:sz="18" w:space="0"/>
        </w:pBdr>
      </w:pPr>
      <w:r>
        <w:t xml:space="preserve">（注：文档部分内容可能由 AI 生成）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lowerLetter"/>
      <w:lvlText w:val="%2.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lowerRoman"/>
      <w:lvlText w:val="%3.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decimal"/>
      <w:lvlText w:val="%4.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lowerLetter"/>
      <w:lvlText w:val="%5.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lowerRoman"/>
      <w:lvlText w:val="%6.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decimal"/>
      <w:lvlText w:val="%7.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lowerLetter"/>
      <w:lvlText w:val="%8.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lowerRoman"/>
      <w:lvlText w:val="%9.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decimal"/>
      <w:lvlText w:val="%10.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start"/>
      <w:pPr>
        <w:ind w:left="288" w:hanging="288"/>
      </w:pPr>
      <w:rPr>
        <w:color w:val="3370FF"/>
        <w:sz w:val="22"/>
        <w:szCs w:val="22"/>
      </w:rPr>
    </w:lvl>
    <w:lvl w:ilvl="1" w15:tentative="1">
      <w:start w:val="1"/>
      <w:numFmt w:val="bullet"/>
      <w:lvlText w:val="◦"/>
      <w:lvlJc w:val="start"/>
      <w:pPr>
        <w:ind w:left="720" w:hanging="288"/>
      </w:pPr>
      <w:rPr>
        <w:color w:val="3370FF"/>
        <w:sz w:val="22"/>
        <w:szCs w:val="22"/>
      </w:rPr>
    </w:lvl>
    <w:lvl w:ilvl="2" w15:tentative="1">
      <w:start w:val="1"/>
      <w:numFmt w:val="bullet"/>
      <w:lvlText w:val="▪"/>
      <w:lvlJc w:val="start"/>
      <w:pPr>
        <w:ind w:left="1152" w:hanging="288"/>
      </w:pPr>
      <w:rPr>
        <w:color w:val="3370FF"/>
        <w:sz w:val="22"/>
        <w:szCs w:val="22"/>
      </w:rPr>
    </w:lvl>
    <w:lvl w:ilvl="3" w15:tentative="1">
      <w:start w:val="1"/>
      <w:numFmt w:val="bullet"/>
      <w:lvlText w:val="•"/>
      <w:lvlJc w:val="start"/>
      <w:pPr>
        <w:ind w:left="1583" w:hanging="288"/>
      </w:pPr>
      <w:rPr>
        <w:color w:val="3370FF"/>
        <w:sz w:val="22"/>
        <w:szCs w:val="22"/>
      </w:rPr>
    </w:lvl>
    <w:lvl w:ilvl="4" w15:tentative="1">
      <w:start w:val="1"/>
      <w:numFmt w:val="bullet"/>
      <w:lvlText w:val="◦"/>
      <w:lvlJc w:val="start"/>
      <w:pPr>
        <w:ind w:left="2015" w:hanging="288"/>
      </w:pPr>
      <w:rPr>
        <w:color w:val="3370FF"/>
        <w:sz w:val="22"/>
        <w:szCs w:val="22"/>
      </w:rPr>
    </w:lvl>
    <w:lvl w:ilvl="5" w15:tentative="1">
      <w:start w:val="1"/>
      <w:numFmt w:val="bullet"/>
      <w:lvlText w:val="▪"/>
      <w:lvlJc w:val="start"/>
      <w:pPr>
        <w:ind w:left="2448" w:hanging="288"/>
      </w:pPr>
      <w:rPr>
        <w:color w:val="3370FF"/>
        <w:sz w:val="22"/>
        <w:szCs w:val="22"/>
      </w:rPr>
    </w:lvl>
    <w:lvl w:ilvl="6" w15:tentative="1">
      <w:start w:val="1"/>
      <w:numFmt w:val="bullet"/>
      <w:lvlText w:val="•"/>
      <w:lvlJc w:val="start"/>
      <w:pPr>
        <w:ind w:left="2879" w:hanging="288"/>
      </w:pPr>
      <w:rPr>
        <w:color w:val="3370FF"/>
        <w:sz w:val="22"/>
        <w:szCs w:val="22"/>
      </w:rPr>
    </w:lvl>
    <w:lvl w:ilvl="7" w15:tentative="1">
      <w:start w:val="1"/>
      <w:numFmt w:val="bullet"/>
      <w:lvlText w:val="◦"/>
      <w:lvlJc w:val="start"/>
      <w:pPr>
        <w:ind w:left="3312" w:hanging="288"/>
      </w:pPr>
      <w:rPr>
        <w:color w:val="3370FF"/>
        <w:sz w:val="22"/>
        <w:szCs w:val="22"/>
      </w:rPr>
    </w:lvl>
    <w:lvl w:ilvl="8" w15:tentative="1">
      <w:start w:val="1"/>
      <w:numFmt w:val="bullet"/>
      <w:lvlText w:val="▪"/>
      <w:lvlJc w:val="start"/>
      <w:pPr>
        <w:ind w:left="3744" w:hanging="288"/>
      </w:pPr>
      <w:rPr>
        <w:color w:val="3370FF"/>
        <w:sz w:val="22"/>
        <w:szCs w:val="22"/>
      </w:rPr>
    </w:lvl>
    <w:lvl w:ilvl="9" w15:tentative="1">
      <w:start w:val="1"/>
      <w:numFmt w:val="bullet"/>
      <w:lvlText w:val="•"/>
      <w:lvlJc w:val="start"/>
      <w:pPr>
        <w:ind w:left="4176" w:hanging="288"/>
      </w:pPr>
      <w:rPr>
        <w:color w:val="3370FF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custom"/>
      <w:lvlText w:val="☐"/>
      <w:lvlJc w:val="start"/>
      <w:pPr>
        <w:ind w:left="288" w:hanging="288"/>
      </w:pPr>
    </w:lvl>
    <w:lvl w:ilvl="1" w15:tentative="1">
      <w:start w:val="1"/>
      <w:numFmt w:val="custom"/>
      <w:lvlText w:val="☐"/>
      <w:lvlJc w:val="start"/>
      <w:pPr>
        <w:ind w:left="720" w:hanging="288"/>
      </w:pPr>
    </w:lvl>
    <w:lvl w:ilvl="2" w15:tentative="1">
      <w:start w:val="1"/>
      <w:numFmt w:val="custom"/>
      <w:lvlText w:val="☐"/>
      <w:lvlJc w:val="start"/>
      <w:pPr>
        <w:ind w:left="1152" w:hanging="288"/>
      </w:pPr>
    </w:lvl>
    <w:lvl w:ilvl="3" w15:tentative="1">
      <w:start w:val="1"/>
      <w:numFmt w:val="custom"/>
      <w:lvlText w:val="☐"/>
      <w:lvlJc w:val="start"/>
      <w:pPr>
        <w:ind w:left="1583" w:hanging="288"/>
      </w:pPr>
    </w:lvl>
    <w:lvl w:ilvl="4" w15:tentative="1">
      <w:start w:val="1"/>
      <w:numFmt w:val="custom"/>
      <w:lvlText w:val="☐"/>
      <w:lvlJc w:val="start"/>
      <w:pPr>
        <w:ind w:left="2015" w:hanging="288"/>
      </w:pPr>
    </w:lvl>
    <w:lvl w:ilvl="5" w15:tentative="1">
      <w:start w:val="1"/>
      <w:numFmt w:val="custom"/>
      <w:lvlText w:val="☐"/>
      <w:lvlJc w:val="start"/>
      <w:pPr>
        <w:ind w:left="2448" w:hanging="288"/>
      </w:pPr>
    </w:lvl>
    <w:lvl w:ilvl="6" w15:tentative="1">
      <w:start w:val="1"/>
      <w:numFmt w:val="custom"/>
      <w:lvlText w:val="☐"/>
      <w:lvlJc w:val="start"/>
      <w:pPr>
        <w:ind w:left="2879" w:hanging="288"/>
      </w:pPr>
    </w:lvl>
    <w:lvl w:ilvl="7" w15:tentative="1">
      <w:start w:val="1"/>
      <w:numFmt w:val="custom"/>
      <w:lvlText w:val="☐"/>
      <w:lvlJc w:val="start"/>
      <w:pPr>
        <w:ind w:left="3312" w:hanging="288"/>
      </w:pPr>
    </w:lvl>
    <w:lvl w:ilvl="8" w15:tentative="1">
      <w:start w:val="1"/>
      <w:numFmt w:val="custom"/>
      <w:lvlText w:val="☐"/>
      <w:lvlJc w:val="start"/>
      <w:pPr>
        <w:ind w:left="3744" w:hanging="288"/>
      </w:pPr>
    </w:lvl>
    <w:lvl w:ilvl="9" w15:tentative="1">
      <w:start w:val="1"/>
      <w:numFmt w:val="custom"/>
      <w:lvlText w:val="☐"/>
      <w:lvlJc w:val="start"/>
      <w:pPr>
        <w:ind w:left="4176" w:hanging="288"/>
      </w:pPr>
    </w:lvl>
  </w:abstractNum>
  <w:abstractNum w:abstractNumId="5" w15:restartNumberingAfterBreak="0">
    <w:multiLevelType w:val="hybridMultilevel"/>
    <w:lvl w:ilvl="0" w15:tentative="1">
      <w:start w:val="1"/>
      <w:numFmt w:val="custom"/>
      <w:lvlText w:val="☑"/>
      <w:lvlJc w:val="start"/>
      <w:pPr>
        <w:ind w:left="288" w:hanging="288"/>
      </w:pPr>
    </w:lvl>
    <w:lvl w:ilvl="1" w15:tentative="1">
      <w:start w:val="1"/>
      <w:numFmt w:val="custom"/>
      <w:lvlText w:val="☑"/>
      <w:lvlJc w:val="start"/>
      <w:pPr>
        <w:ind w:left="720" w:hanging="288"/>
      </w:pPr>
    </w:lvl>
    <w:lvl w:ilvl="2" w15:tentative="1">
      <w:start w:val="1"/>
      <w:numFmt w:val="custom"/>
      <w:lvlText w:val="☑"/>
      <w:lvlJc w:val="start"/>
      <w:pPr>
        <w:ind w:left="1152" w:hanging="288"/>
      </w:pPr>
    </w:lvl>
    <w:lvl w:ilvl="3" w15:tentative="1">
      <w:start w:val="1"/>
      <w:numFmt w:val="custom"/>
      <w:lvlText w:val="☑"/>
      <w:lvlJc w:val="start"/>
      <w:pPr>
        <w:ind w:left="1583" w:hanging="288"/>
      </w:pPr>
    </w:lvl>
    <w:lvl w:ilvl="4" w15:tentative="1">
      <w:start w:val="1"/>
      <w:numFmt w:val="custom"/>
      <w:lvlText w:val="☑"/>
      <w:lvlJc w:val="start"/>
      <w:pPr>
        <w:ind w:left="2015" w:hanging="288"/>
      </w:pPr>
    </w:lvl>
    <w:lvl w:ilvl="5" w15:tentative="1">
      <w:start w:val="1"/>
      <w:numFmt w:val="custom"/>
      <w:lvlText w:val="☑"/>
      <w:lvlJc w:val="start"/>
      <w:pPr>
        <w:ind w:left="2448" w:hanging="288"/>
      </w:pPr>
    </w:lvl>
    <w:lvl w:ilvl="6" w15:tentative="1">
      <w:start w:val="1"/>
      <w:numFmt w:val="custom"/>
      <w:lvlText w:val="☑"/>
      <w:lvlJc w:val="start"/>
      <w:pPr>
        <w:ind w:left="2879" w:hanging="288"/>
      </w:pPr>
    </w:lvl>
    <w:lvl w:ilvl="7" w15:tentative="1">
      <w:start w:val="1"/>
      <w:numFmt w:val="custom"/>
      <w:lvlText w:val="☑"/>
      <w:lvlJc w:val="start"/>
      <w:pPr>
        <w:ind w:left="3312" w:hanging="288"/>
      </w:pPr>
    </w:lvl>
    <w:lvl w:ilvl="8" w15:tentative="1">
      <w:start w:val="1"/>
      <w:numFmt w:val="custom"/>
      <w:lvlText w:val="☑"/>
      <w:lvlJc w:val="start"/>
      <w:pPr>
        <w:ind w:left="3744" w:hanging="288"/>
      </w:pPr>
    </w:lvl>
    <w:lvl w:ilvl="9" w15:tentative="1">
      <w:start w:val="1"/>
      <w:numFmt w:val="custom"/>
      <w:lvlText w:val="☑"/>
      <w:lvlJc w:val="start"/>
      <w:pPr>
        <w:ind w:left="4176" w:hanging="288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pPr>
      <w:spacing w:before="480" w:after="480" w:line="288" w:lineRule="auto"/>
      <w:ind w:left="0"/>
    </w:pPr>
    <w:rPr>
      <w:b/>
      <w:bCs/>
      <w:sz w:val="52"/>
      <w:szCs w:val="52"/>
      <w:rFonts w:ascii="Arial" w:hAnsi="Arial" w:eastAsia="等线" w:cs="Arial"/>
    </w:rPr>
  </w:style>
  <w:style w:type="paragraph" w:styleId="Heading1">
    <w:name w:val="Heading 1"/>
    <w:basedOn w:val="Normal"/>
    <w:next w:val="Normal"/>
    <w:qFormat/>
    <w:pPr>
      <w:spacing w:before="380" w:after="140" w:line="288" w:lineRule="auto"/>
      <w:ind w:left="0"/>
      <w:jc w:val="left"/>
      <w:outlineLvl w:val="0"/>
    </w:pPr>
    <w:rPr>
      <w:b/>
      <w:bCs/>
      <w:sz w:val="36"/>
      <w:szCs w:val="36"/>
      <w:rFonts w:ascii="Arial" w:hAnsi="Arial" w:eastAsia="等线" w:cs="Arial"/>
    </w:rPr>
  </w:style>
  <w:style w:type="paragraph" w:styleId="Heading2">
    <w:name w:val="Heading 2"/>
    <w:basedOn w:val="Normal"/>
    <w:next w:val="Normal"/>
    <w:qFormat/>
    <w:pPr>
      <w:spacing w:before="320" w:after="120" w:line="288" w:lineRule="auto"/>
      <w:ind w:left="0"/>
      <w:jc w:val="left"/>
      <w:outlineLvl w:val="1"/>
    </w:pPr>
    <w:rPr>
      <w:b/>
      <w:bCs/>
      <w:sz w:val="32"/>
      <w:szCs w:val="32"/>
      <w:rFonts w:ascii="Arial" w:hAnsi="Arial" w:eastAsia="等线" w:cs="Arial"/>
    </w:rPr>
  </w:style>
  <w:style w:type="paragraph" w:styleId="Heading3">
    <w:name w:val="Heading 3"/>
    <w:basedOn w:val="Normal"/>
    <w:next w:val="Normal"/>
    <w:qFormat/>
    <w:pPr>
      <w:spacing w:before="300" w:after="120" w:line="288" w:lineRule="auto"/>
      <w:ind w:left="0"/>
      <w:jc w:val="left"/>
      <w:outlineLvl w:val="2"/>
    </w:pPr>
    <w:rPr>
      <w:b/>
      <w:bCs/>
      <w:sz w:val="30"/>
      <w:szCs w:val="30"/>
      <w:rFonts w:ascii="Arial" w:hAnsi="Arial" w:eastAsia="等线" w:cs="Arial"/>
    </w:rPr>
  </w:style>
  <w:style w:type="paragraph" w:styleId="Heading4">
    <w:name w:val="Heading 4"/>
    <w:basedOn w:val="Normal"/>
    <w:next w:val="Normal"/>
    <w:qFormat/>
    <w:pPr>
      <w:spacing w:before="260" w:after="120" w:line="288" w:lineRule="auto"/>
      <w:ind w:left="0"/>
      <w:jc w:val="left"/>
      <w:outlineLvl w:val="3"/>
    </w:pPr>
    <w:rPr>
      <w:b/>
      <w:bCs/>
      <w:sz w:val="28"/>
      <w:szCs w:val="28"/>
      <w:rFonts w:ascii="Arial" w:hAnsi="Arial" w:eastAsia="等线" w:cs="Arial"/>
    </w:rPr>
  </w:style>
  <w:style w:type="paragraph" w:styleId="Heading5">
    <w:name w:val="Heading 5"/>
    <w:basedOn w:val="Normal"/>
    <w:next w:val="Normal"/>
    <w:qFormat/>
    <w:pPr>
      <w:spacing w:before="240" w:after="120" w:line="288" w:lineRule="auto"/>
      <w:ind w:left="0"/>
      <w:jc w:val="left"/>
      <w:outlineLvl w:val="4"/>
    </w:pPr>
    <w:rPr>
      <w:b/>
      <w:bCs/>
      <w:sz w:val="24"/>
      <w:szCs w:val="24"/>
      <w:rFonts w:ascii="Arial" w:hAnsi="Arial" w:eastAsia="等线" w:cs="Arial"/>
    </w:rPr>
  </w:style>
  <w:style w:type="paragraph" w:styleId="Heading6">
    <w:name w:val="Heading 6"/>
    <w:basedOn w:val="Normal"/>
    <w:next w:val="Normal"/>
    <w:qFormat/>
    <w:pPr>
      <w:spacing w:before="240" w:after="120" w:line="288" w:lineRule="auto"/>
      <w:ind w:left="0"/>
      <w:jc w:val="left"/>
      <w:outlineLvl w:val="5"/>
    </w:pPr>
    <w:rPr>
      <w:b/>
      <w:bCs/>
      <w:sz w:val="24"/>
      <w:szCs w:val="24"/>
      <w:rFonts w:ascii="Arial" w:hAnsi="Arial" w:eastAsia="等线" w:cs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ext">
    <w:pPr>
      <w:spacing w:before="120" w:after="120" w:line="288" w:lineRule="auto"/>
      <w:ind w:left="0"/>
      <w:jc w:val="left"/>
    </w:pPr>
    <w:rPr>
      <w:sz w:val="22"/>
      <w:szCs w:val="22"/>
      <w:rFonts w:ascii="Arial" w:hAnsi="Arial" w:eastAsia="等线" w:cs="Arial"/>
    </w:rPr>
  </w:style>
  <w:style w:type="paragraph" w:styleId="blockquote">
    <w:pPr>
      <w:spacing w:before="120" w:after="120" w:line="288" w:lineRule="auto"/>
      <w:ind w:left="0"/>
      <w:jc w:val="left"/>
    </w:pPr>
    <w:rPr>
      <w:color w:val="8F959E"/>
      <w:sz w:val="22"/>
      <w:szCs w:val="22"/>
      <w:rFonts w:ascii="Arial" w:hAnsi="Arial" w:eastAsia="等线" w:cs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2025-11-05T05:35:47.821Z</dcterms:created>
  <dcterms:modified xsi:type="dcterms:W3CDTF">2025-11-05T05:35:47.821Z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